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F4E4E"/>
        </w:rPr>
        <w:t xml:space="preserve">Braden Scale Risk Assessment &amp; Intervention Guide</w:t>
      </w:r>
    </w:p>
    <w:p>
      <w:pPr>
        <w:spacing w:after="200" w:before="0"/>
      </w:pPr>
      <w:r>
        <w:rPr>
          <w:color w:val="333333"/>
          <w:sz w:val="22"/>
          <w:szCs w:val="22"/>
        </w:rPr>
        <w:t xml:space="preserve">Score each Braden subscale. Lower scores = higher risk. Use the matching intervention bundle for the total score.</w:t>
      </w:r>
    </w:p>
    <w:p>
      <w:pPr>
        <w:pStyle w:val="Heading2"/>
        <w:spacing w:after="120" w:before="240"/>
      </w:pPr>
      <w:r>
        <w:rPr>
          <w:b/>
          <w:bCs/>
          <w:color w:val="1F4E4E"/>
        </w:rPr>
        <w:t xml:space="preserve">Braden Scale Scoring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Subscale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1 (most impaired)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Score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4 (least impaired)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Sensory Perception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Completely limited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____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No impairment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Moisture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Constantly moist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____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Rarely moist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Activity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Bedfast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____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Walks frequently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Mobility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Completely immobile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____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No limitations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Nutrition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Very poor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____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Excellent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Friction/Shear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Problem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____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No apparent problem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Risk Level &amp; Interventions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Total Score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Recommended Interventions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≤ 9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1"/>
                <w:szCs w:val="21"/>
              </w:rPr>
              <w:t xml:space="preserve">Severe risk: turn/reposition every 2 hours; pressure-redistributing mattress; head-of-bed ≤ 30°; nutrition consult; skin checks every shift.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10–12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1"/>
                <w:szCs w:val="21"/>
              </w:rPr>
              <w:t xml:space="preserve">High risk: 2-hour repositioning; pressure-redistributing surface; moisture management; daily skin inspection; documented care plan.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13–14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1"/>
                <w:szCs w:val="21"/>
              </w:rPr>
              <w:t xml:space="preserve">Moderate risk: repositioning schedule; skin checks; optimize nutrition and moisture; education for staff and family.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15–18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1"/>
                <w:szCs w:val="21"/>
              </w:rPr>
              <w:t xml:space="preserve">Mild risk: routine skin assessments; encourage mobility; protect heels and bony prominences.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19–23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21"/>
                <w:szCs w:val="21"/>
              </w:rPr>
              <w:t xml:space="preserve">No risk: standard skin care and preventive education.</w:t>
            </w:r>
          </w:p>
        </w:tc>
      </w:tr>
    </w:tbl>
    <w:p>
      <w:pPr>
        <w:spacing w:after="120" w:before="240"/>
      </w:pPr>
      <w:r>
        <w:rPr>
          <w:color w:val="333333"/>
          <w:sz w:val="22"/>
          <w:szCs w:val="22"/>
        </w:rPr>
        <w:t xml:space="preserve">Disclaimer: This tool supports clinical judgment and does not replace licensed assessment or provider orders.</w:t>
      </w:r>
    </w:p>
    <w:p>
      <w:pPr>
        <w:spacing w:after="120" w:before="120"/>
      </w:pPr>
      <w:r>
        <w:rPr>
          <w:color w:val="333333"/>
          <w:sz w:val="22"/>
          <w:szCs w:val="22"/>
        </w:rPr>
        <w:t xml:space="preserve">Resident: _______________________  Date: _______________  RN: _______________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of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1F4E4E"/>
        <w:sz w:val="18"/>
        <w:szCs w:val="18"/>
      </w:rPr>
      <w:t xml:space="preserve">Nurse Excellence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4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1F4E4E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2026-07-28T02:25:37.649Z</dcterms:created>
  <dcterms:modified xsi:type="dcterms:W3CDTF">2026-07-28T02:25:37.649Z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