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9F1D8" w:val="clear"/>
            <w:tcMar>
              <w:top w:type="dxa" w:w="90"/>
              <w:left w:type="dxa" w:w="130"/>
              <w:bottom w:type="dxa" w:w="90"/>
              <w:right w:type="dxa" w:w="130"/>
            </w:tcMar>
            <w:vAlign w:val="top"/>
          </w:tcPr>
          <w:p>
            <w:pPr>
              <w:spacing w:after="80" w:before="200"/>
              <w:jc w:val="center"/>
            </w:pPr>
            <w:r>
              <w:rPr>
                <w:b/>
                <w:bCs/>
                <w:color w:val="C9A227"/>
                <w:sz w:val="20"/>
                <w:szCs w:val="20"/>
              </w:rPr>
              <w:t xml:space="preserve">NURSE EXCELLENCE ACADEMY</w:t>
            </w:r>
          </w:p>
          <w:p>
            <w:pPr>
              <w:spacing w:after="120"/>
              <w:jc w:val="center"/>
            </w:pPr>
            <w:r>
              <w:rPr>
                <w:b/>
                <w:bCs/>
                <w:color w:val="1F4E4E"/>
                <w:sz w:val="40"/>
                <w:szCs w:val="40"/>
              </w:rPr>
              <w:t xml:space="preserve">Infection Prevention &amp; Antibiotic Stewardship in Long-Term Care</w:t>
            </w:r>
          </w:p>
          <w:p>
            <w:pPr>
              <w:spacing w:after="80"/>
              <w:jc w:val="center"/>
            </w:pPr>
            <w:r>
              <w:rPr>
                <w:i/>
                <w:iCs/>
                <w:color w:val="3E2723"/>
                <w:sz w:val="26"/>
                <w:szCs w:val="26"/>
              </w:rPr>
              <w:t xml:space="preserve">Facilitator Course Outline</w:t>
            </w:r>
          </w:p>
          <w:p>
            <w:pPr>
              <w:spacing w:after="200"/>
              <w:jc w:val="center"/>
            </w:pPr>
            <w:r>
              <w:rPr>
                <w:color w:val="666666"/>
                <w:sz w:val="20"/>
                <w:szCs w:val="20"/>
              </w:rPr>
              <w:t xml:space="preserve">Version 1.0  •  July 2026</w:t>
            </w:r>
          </w:p>
        </w:tc>
      </w:tr>
    </w:tbl>
    <w:p>
      <w:r>
        <w:br w:type="page"/>
      </w:r>
    </w:p>
    <w:p>
      <w:pPr>
        <w:pStyle w:val="Heading1"/>
        <w:spacing w:after="200" w:before="0"/>
      </w:pPr>
      <w:r>
        <w:rPr>
          <w:b/>
          <w:bCs/>
          <w:color w:val="1F4E4E"/>
        </w:rPr>
        <w:t xml:space="preserve">Course Overview</w:t>
      </w:r>
    </w:p>
    <w:p>
      <w:pPr>
        <w:spacing w:after="160" w:before="0"/>
      </w:pPr>
      <w:r>
        <w:rPr>
          <w:color w:val="333333"/>
          <w:sz w:val="22"/>
          <w:szCs w:val="22"/>
        </w:rPr>
        <w:t xml:space="preserve">This facilitator outline guides a working session that prepares long-term care nursing leaders to run a defensible Infection Prevention &amp; Control Program (IPCP) and an evidence-based antibiotic stewardship program. Every module ties directly to CMS F-tags, CDC Core Elements, and the McGeer / Loeb surveillance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Audience</w:t>
            </w:r>
          </w:p>
        </w:tc>
        <w:tc>
          <w:tcPr>
            <w:tcW w:type="dxa" w:w="69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Directors of Nursing, Infection Preventionists, Unit Managers, Charge Nurses, and Staff Development Coordinators in skilled nursing, assisted living, and memory care settings.</w:t>
            </w:r>
          </w:p>
        </w:tc>
      </w:tr>
      <w:tr>
        <w:tc>
          <w:tcPr>
            <w:tcW w:type="dxa" w:w="24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Duration</w:t>
            </w:r>
          </w:p>
        </w:tc>
        <w:tc>
          <w:tcPr>
            <w:tcW w:type="dxa" w:w="69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Approximately 4 hours (6 modules, delivered in one session or split across two 2-hour blocks).</w:t>
            </w:r>
          </w:p>
        </w:tc>
      </w:tr>
      <w:tr>
        <w:tc>
          <w:tcPr>
            <w:tcW w:type="dxa" w:w="24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Format</w:t>
            </w:r>
          </w:p>
        </w:tc>
        <w:tc>
          <w:tcPr>
            <w:tcW w:type="dxa" w:w="69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In-person or virtual instructor-led. Includes discussion, case studies, a PPE skills lab, and a tabletop exercise.</w:t>
            </w:r>
          </w:p>
        </w:tc>
      </w:tr>
      <w:tr>
        <w:tc>
          <w:tcPr>
            <w:tcW w:type="dxa" w:w="24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Prerequisites</w:t>
            </w:r>
          </w:p>
        </w:tc>
        <w:tc>
          <w:tcPr>
            <w:tcW w:type="dxa" w:w="69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Active nursing license or clinical staff role. Access to the facility IPCP plan and most recent infection surveillance data.</w:t>
            </w:r>
          </w:p>
        </w:tc>
      </w:tr>
      <w:tr>
        <w:tc>
          <w:tcPr>
            <w:tcW w:type="dxa" w:w="24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Materials needed</w:t>
            </w:r>
          </w:p>
        </w:tc>
        <w:tc>
          <w:tcPr>
            <w:tcW w:type="dxa" w:w="69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Facility IPCP plan, McGeer/Loeb pocket cards, PPE for demo, projector, whiteboard, sample antibiotic use report.</w:t>
            </w:r>
          </w:p>
        </w:tc>
      </w:tr>
      <w:tr>
        <w:tc>
          <w:tcPr>
            <w:tcW w:type="dxa" w:w="24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CE credit</w:t>
            </w:r>
          </w:p>
        </w:tc>
        <w:tc>
          <w:tcPr>
            <w:tcW w:type="dxa" w:w="69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Contact hours available upon completion of post-test with ≥ 80% and evaluation form (pending accreditation).</w:t>
            </w:r>
          </w:p>
        </w:tc>
      </w:tr>
    </w:tbl>
    <w:p>
      <w:pPr>
        <w:pStyle w:val="Heading1"/>
        <w:spacing w:after="200" w:before="0"/>
      </w:pPr>
      <w:r>
        <w:rPr>
          <w:b/>
          <w:bCs/>
          <w:color w:val="1F4E4E"/>
        </w:rPr>
        <w:t xml:space="preserve">Learning Objectives</w:t>
      </w:r>
    </w:p>
    <w:p>
      <w:pPr>
        <w:spacing w:after="120" w:before="0"/>
      </w:pPr>
      <w:r>
        <w:rPr>
          <w:color w:val="333333"/>
          <w:sz w:val="22"/>
          <w:szCs w:val="22"/>
        </w:rPr>
        <w:t xml:space="preserve">By the end of this course, participants will be able to:</w:t>
      </w:r>
    </w:p>
    <w:p>
      <w:pPr>
        <w:pStyle w:val="ListParagraph"/>
        <w:numPr>
          <w:ilvl w:val="0"/>
          <w:numId w:val="2"/>
        </w:numPr>
        <w:spacing w:after="60"/>
      </w:pPr>
      <w:r>
        <w:rPr>
          <w:color w:val="333333"/>
          <w:sz w:val="22"/>
          <w:szCs w:val="22"/>
        </w:rPr>
        <w:t xml:space="preserve">Describe CMS F880 and F881 requirements and identify the elements a survey team will request on entrance.</w:t>
      </w:r>
    </w:p>
    <w:p>
      <w:pPr>
        <w:pStyle w:val="ListParagraph"/>
        <w:numPr>
          <w:ilvl w:val="0"/>
          <w:numId w:val="2"/>
        </w:numPr>
        <w:spacing w:after="60"/>
      </w:pPr>
      <w:r>
        <w:rPr>
          <w:color w:val="333333"/>
          <w:sz w:val="22"/>
          <w:szCs w:val="22"/>
        </w:rPr>
        <w:t xml:space="preserve">Apply revised McGeer criteria to classify suspected infections and calculate monthly infection rates.</w:t>
      </w:r>
    </w:p>
    <w:p>
      <w:pPr>
        <w:pStyle w:val="ListParagraph"/>
        <w:numPr>
          <w:ilvl w:val="0"/>
          <w:numId w:val="2"/>
        </w:numPr>
        <w:spacing w:after="60"/>
      </w:pPr>
      <w:r>
        <w:rPr>
          <w:color w:val="333333"/>
          <w:sz w:val="22"/>
          <w:szCs w:val="22"/>
        </w:rPr>
        <w:t xml:space="preserve">Use Loeb minimum criteria and an SBAR script to make an evidence-based recommendation before an antibiotic is prescribed.</w:t>
      </w:r>
    </w:p>
    <w:p>
      <w:pPr>
        <w:pStyle w:val="ListParagraph"/>
        <w:numPr>
          <w:ilvl w:val="0"/>
          <w:numId w:val="2"/>
        </w:numPr>
        <w:spacing w:after="60"/>
      </w:pPr>
      <w:r>
        <w:rPr>
          <w:color w:val="333333"/>
          <w:sz w:val="22"/>
          <w:szCs w:val="22"/>
        </w:rPr>
        <w:t xml:space="preserve">Initiate an outbreak response bundle within one hour of recognition, including cohorting, PPE, and reporting.</w:t>
      </w:r>
    </w:p>
    <w:p>
      <w:pPr>
        <w:pStyle w:val="ListParagraph"/>
        <w:numPr>
          <w:ilvl w:val="0"/>
          <w:numId w:val="2"/>
        </w:numPr>
        <w:spacing w:after="60"/>
      </w:pPr>
      <w:r>
        <w:rPr>
          <w:color w:val="333333"/>
          <w:sz w:val="22"/>
          <w:szCs w:val="22"/>
        </w:rPr>
        <w:t xml:space="preserve">Demonstrate correct PPE donning/doffing and select the appropriate transmission-based precaution.</w:t>
      </w:r>
    </w:p>
    <w:p>
      <w:pPr>
        <w:pStyle w:val="ListParagraph"/>
        <w:numPr>
          <w:ilvl w:val="0"/>
          <w:numId w:val="2"/>
        </w:numPr>
        <w:spacing w:after="60"/>
      </w:pPr>
      <w:r>
        <w:rPr>
          <w:color w:val="333333"/>
          <w:sz w:val="22"/>
          <w:szCs w:val="22"/>
        </w:rPr>
        <w:t xml:space="preserve">Integrate infection and antibiotic-use data into the facility QAPI Performance Improvement Project cycle.</w:t>
      </w:r>
    </w:p>
    <w:p>
      <w:r>
        <w:br w:type="page"/>
      </w:r>
    </w:p>
    <w:p>
      <w:pPr>
        <w:pStyle w:val="Heading1"/>
        <w:spacing w:after="200" w:before="0"/>
      </w:pPr>
      <w:r>
        <w:rPr>
          <w:b/>
          <w:bCs/>
          <w:color w:val="1F4E4E"/>
        </w:rPr>
        <w:t xml:space="preserve">Module-by-Module Breakdown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736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r>
              <w:rPr>
                <w:b/>
                <w:bCs/>
                <w:color w:val="FFFFFF"/>
                <w:sz w:val="22"/>
                <w:szCs w:val="22"/>
              </w:rPr>
              <w:t xml:space="preserve">Module 1: Regulatory Foundation — IPCP Requirements</w:t>
            </w:r>
          </w:p>
        </w:tc>
        <w:tc>
          <w:tcPr>
            <w:tcW w:type="dxa" w:w="200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pPr>
              <w:jc w:val="center"/>
            </w:pPr>
            <w:r>
              <w:rPr>
                <w:b/>
                <w:bCs/>
                <w:color w:val="FFFFFF"/>
                <w:sz w:val="22"/>
                <w:szCs w:val="22"/>
              </w:rPr>
              <w:t xml:space="preserve">30 min</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Key content</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CMS F-tags F880 (Infection Prevention &amp; Control) and F881 (Antibiotic Stewardship).</w:t>
            </w:r>
          </w:p>
          <w:p>
            <w:pPr>
              <w:spacing w:after="40"/>
            </w:pPr>
            <w:r>
              <w:rPr>
                <w:color w:val="333333"/>
                <w:sz w:val="22"/>
                <w:szCs w:val="22"/>
              </w:rPr>
              <w:t xml:space="preserve">• Role of the trained Infection Preventionist (IP) — required hours and competencies.</w:t>
            </w:r>
          </w:p>
          <w:p>
            <w:pPr>
              <w:spacing w:after="40"/>
            </w:pPr>
            <w:r>
              <w:rPr>
                <w:color w:val="333333"/>
                <w:sz w:val="22"/>
                <w:szCs w:val="22"/>
              </w:rPr>
              <w:t xml:space="preserve">• Written IPCP plan: surveillance, prevention, education, antibiotic stewardship.</w:t>
            </w:r>
          </w:p>
          <w:p>
            <w:pPr>
              <w:spacing w:after="40"/>
            </w:pPr>
            <w:r>
              <w:rPr>
                <w:color w:val="333333"/>
                <w:sz w:val="22"/>
                <w:szCs w:val="22"/>
              </w:rPr>
              <w:t xml:space="preserve">• State reporting obligations and NHSN LTCF component enrollment.</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Facilitator notes</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Bring a printed copy of the facility IPCP plan for participants to reference.</w:t>
            </w:r>
          </w:p>
          <w:p>
            <w:pPr>
              <w:spacing w:after="40"/>
            </w:pPr>
            <w:r>
              <w:rPr>
                <w:color w:val="333333"/>
                <w:sz w:val="22"/>
                <w:szCs w:val="22"/>
              </w:rPr>
              <w:t xml:space="preserve">• Highlight the most-cited F880/F881 deficiencies from the current QCOR data.</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Activity</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Table review: teams map their facility IPCP plan to each F880 sub-requirement and flag gaps.</w:t>
            </w:r>
          </w:p>
        </w:tc>
      </w:tr>
    </w:tbl>
    <w:p>
      <w:pPr>
        <w:spacing w:after="160" w:before="0"/>
      </w:pPr>
      <w:r>
        <w:rPr>
          <w:color w:val="3333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736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r>
              <w:rPr>
                <w:b/>
                <w:bCs/>
                <w:color w:val="FFFFFF"/>
                <w:sz w:val="22"/>
                <w:szCs w:val="22"/>
              </w:rPr>
              <w:t xml:space="preserve">Module 2: Surveillance — McGeer &amp; Loeb Criteria</w:t>
            </w:r>
          </w:p>
        </w:tc>
        <w:tc>
          <w:tcPr>
            <w:tcW w:type="dxa" w:w="200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pPr>
              <w:jc w:val="center"/>
            </w:pPr>
            <w:r>
              <w:rPr>
                <w:b/>
                <w:bCs/>
                <w:color w:val="FFFFFF"/>
                <w:sz w:val="22"/>
                <w:szCs w:val="22"/>
              </w:rPr>
              <w:t xml:space="preserve">45 min</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Key content</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Revised McGeer criteria for UTI, LRTI, SSTI, GI, and bloodstream infection surveillance.</w:t>
            </w:r>
          </w:p>
          <w:p>
            <w:pPr>
              <w:spacing w:after="40"/>
            </w:pPr>
            <w:r>
              <w:rPr>
                <w:color w:val="333333"/>
                <w:sz w:val="22"/>
                <w:szCs w:val="22"/>
              </w:rPr>
              <w:t xml:space="preserve">• Loeb minimum criteria for initiating antibiotics in LTC residents.</w:t>
            </w:r>
          </w:p>
          <w:p>
            <w:pPr>
              <w:spacing w:after="40"/>
            </w:pPr>
            <w:r>
              <w:rPr>
                <w:color w:val="333333"/>
                <w:sz w:val="22"/>
                <w:szCs w:val="22"/>
              </w:rPr>
              <w:t xml:space="preserve">• Constitutional vs. localizing signs — why "cloudy urine" is not a criterion.</w:t>
            </w:r>
          </w:p>
          <w:p>
            <w:pPr>
              <w:spacing w:after="40"/>
            </w:pPr>
            <w:r>
              <w:rPr>
                <w:color w:val="333333"/>
                <w:sz w:val="22"/>
                <w:szCs w:val="22"/>
              </w:rPr>
              <w:t xml:space="preserve">• Line-listing, monthly rate calculation, and trending on the QAPI dashboard.</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Facilitator notes</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Distribute laminated McGeer/Loeb pocket cards.</w:t>
            </w:r>
          </w:p>
          <w:p>
            <w:pPr>
              <w:spacing w:after="40"/>
            </w:pPr>
            <w:r>
              <w:rPr>
                <w:color w:val="333333"/>
                <w:sz w:val="22"/>
                <w:szCs w:val="22"/>
              </w:rPr>
              <w:t xml:space="preserve">• Use a whiteboard to walk through a UTI numerator/denominator calculation together.</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Activity</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Case sort: 6 resident vignettes — participants classify each as meets criteria / does not meet / needs more data.</w:t>
            </w:r>
          </w:p>
        </w:tc>
      </w:tr>
    </w:tbl>
    <w:p>
      <w:pPr>
        <w:spacing w:after="160" w:before="0"/>
      </w:pPr>
      <w:r>
        <w:rPr>
          <w:color w:val="3333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736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r>
              <w:rPr>
                <w:b/>
                <w:bCs/>
                <w:color w:val="FFFFFF"/>
                <w:sz w:val="22"/>
                <w:szCs w:val="22"/>
              </w:rPr>
              <w:t xml:space="preserve">Module 3: Outbreak Identification &amp; Response</w:t>
            </w:r>
          </w:p>
        </w:tc>
        <w:tc>
          <w:tcPr>
            <w:tcW w:type="dxa" w:w="200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pPr>
              <w:jc w:val="center"/>
            </w:pPr>
            <w:r>
              <w:rPr>
                <w:b/>
                <w:bCs/>
                <w:color w:val="FFFFFF"/>
                <w:sz w:val="22"/>
                <w:szCs w:val="22"/>
              </w:rPr>
              <w:t xml:space="preserve">45 min</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Key content</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Definition of an outbreak in LTC (2+ epidemiologically linked cases within an incubation period).</w:t>
            </w:r>
          </w:p>
          <w:p>
            <w:pPr>
              <w:spacing w:after="40"/>
            </w:pPr>
            <w:r>
              <w:rPr>
                <w:color w:val="333333"/>
                <w:sz w:val="22"/>
                <w:szCs w:val="22"/>
              </w:rPr>
              <w:t xml:space="preserve">• Immediate response bundle: cohorting, signage, PPE conservation, staff cohort assignments.</w:t>
            </w:r>
          </w:p>
          <w:p>
            <w:pPr>
              <w:spacing w:after="40"/>
            </w:pPr>
            <w:r>
              <w:rPr>
                <w:color w:val="333333"/>
                <w:sz w:val="22"/>
                <w:szCs w:val="22"/>
              </w:rPr>
              <w:t xml:space="preserve">• Communication tree: administrator, medical director, local health department, families.</w:t>
            </w:r>
          </w:p>
          <w:p>
            <w:pPr>
              <w:spacing w:after="40"/>
            </w:pPr>
            <w:r>
              <w:rPr>
                <w:color w:val="333333"/>
                <w:sz w:val="22"/>
                <w:szCs w:val="22"/>
              </w:rPr>
              <w:t xml:space="preserve">• Line list maintenance and after-action review.</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Facilitator notes</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Reference the facility outbreak binder location; if none exists, plan to build one as a post-session action.</w:t>
            </w:r>
          </w:p>
          <w:p>
            <w:pPr>
              <w:spacing w:after="40"/>
            </w:pPr>
            <w:r>
              <w:rPr>
                <w:color w:val="333333"/>
                <w:sz w:val="22"/>
                <w:szCs w:val="22"/>
              </w:rPr>
              <w:t xml:space="preserve">• Discuss respiratory (influenza/COVID/RSV) vs. GI (norovirus/C. difficile) response differences.</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Activity</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Tabletop exercise: suspected norovirus outbreak on Unit 2 — teams draft first 4 hours of response steps.</w:t>
            </w:r>
          </w:p>
        </w:tc>
      </w:tr>
    </w:tbl>
    <w:p>
      <w:pPr>
        <w:spacing w:after="160" w:before="0"/>
      </w:pPr>
      <w:r>
        <w:rPr>
          <w:color w:val="3333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736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r>
              <w:rPr>
                <w:b/>
                <w:bCs/>
                <w:color w:val="FFFFFF"/>
                <w:sz w:val="22"/>
                <w:szCs w:val="22"/>
              </w:rPr>
              <w:t xml:space="preserve">Module 4: Standard &amp; Transmission-Based Precautions</w:t>
            </w:r>
          </w:p>
        </w:tc>
        <w:tc>
          <w:tcPr>
            <w:tcW w:type="dxa" w:w="200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pPr>
              <w:jc w:val="center"/>
            </w:pPr>
            <w:r>
              <w:rPr>
                <w:b/>
                <w:bCs/>
                <w:color w:val="FFFFFF"/>
                <w:sz w:val="22"/>
                <w:szCs w:val="22"/>
              </w:rPr>
              <w:t xml:space="preserve">30 min</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Key content</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Hand hygiene five moments; alcohol-based rub vs. soap-and-water indications.</w:t>
            </w:r>
          </w:p>
          <w:p>
            <w:pPr>
              <w:spacing w:after="40"/>
            </w:pPr>
            <w:r>
              <w:rPr>
                <w:color w:val="333333"/>
                <w:sz w:val="22"/>
                <w:szCs w:val="22"/>
              </w:rPr>
              <w:t xml:space="preserve">• PPE selection, donning/doffing sequence, and competency validation.</w:t>
            </w:r>
          </w:p>
          <w:p>
            <w:pPr>
              <w:spacing w:after="40"/>
            </w:pPr>
            <w:r>
              <w:rPr>
                <w:color w:val="333333"/>
                <w:sz w:val="22"/>
                <w:szCs w:val="22"/>
              </w:rPr>
              <w:t xml:space="preserve">• Contact, droplet, airborne, and enhanced barrier precautions (EBP) — indications in LTC.</w:t>
            </w:r>
          </w:p>
          <w:p>
            <w:pPr>
              <w:spacing w:after="40"/>
            </w:pPr>
            <w:r>
              <w:rPr>
                <w:color w:val="333333"/>
                <w:sz w:val="22"/>
                <w:szCs w:val="22"/>
              </w:rPr>
              <w:t xml:space="preserve">• Environmental cleaning: high-touch surfaces, EPA List N/K products, dwell time.</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Facilitator notes</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Bring PPE for a live donning/doffing demo with peer observation.</w:t>
            </w:r>
          </w:p>
          <w:p>
            <w:pPr>
              <w:spacing w:after="40"/>
            </w:pPr>
            <w:r>
              <w:rPr>
                <w:color w:val="333333"/>
                <w:sz w:val="22"/>
                <w:szCs w:val="22"/>
              </w:rPr>
              <w:t xml:space="preserve">• Show the CDC EBP decision tree and clarify differences from contact precautions.</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Activity</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Skills lab: paired PPE donning/doffing with a competency checklist scored by a peer.</w:t>
            </w:r>
          </w:p>
        </w:tc>
      </w:tr>
    </w:tbl>
    <w:p>
      <w:pPr>
        <w:spacing w:after="160" w:before="0"/>
      </w:pPr>
      <w:r>
        <w:rPr>
          <w:color w:val="3333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736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r>
              <w:rPr>
                <w:b/>
                <w:bCs/>
                <w:color w:val="FFFFFF"/>
                <w:sz w:val="22"/>
                <w:szCs w:val="22"/>
              </w:rPr>
              <w:t xml:space="preserve">Module 5: Antibiotic Stewardship in Practice</w:t>
            </w:r>
          </w:p>
        </w:tc>
        <w:tc>
          <w:tcPr>
            <w:tcW w:type="dxa" w:w="200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pPr>
              <w:jc w:val="center"/>
            </w:pPr>
            <w:r>
              <w:rPr>
                <w:b/>
                <w:bCs/>
                <w:color w:val="FFFFFF"/>
                <w:sz w:val="22"/>
                <w:szCs w:val="22"/>
              </w:rPr>
              <w:t xml:space="preserve">45 min</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Key content</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Core Elements of Antibiotic Stewardship for nursing homes (CDC).</w:t>
            </w:r>
          </w:p>
          <w:p>
            <w:pPr>
              <w:spacing w:after="40"/>
            </w:pPr>
            <w:r>
              <w:rPr>
                <w:color w:val="333333"/>
                <w:sz w:val="22"/>
                <w:szCs w:val="22"/>
              </w:rPr>
              <w:t xml:space="preserve">• SBAR communication tool for nurse-to-prescriber calls about suspected infection.</w:t>
            </w:r>
          </w:p>
          <w:p>
            <w:pPr>
              <w:spacing w:after="40"/>
            </w:pPr>
            <w:r>
              <w:rPr>
                <w:color w:val="333333"/>
                <w:sz w:val="22"/>
                <w:szCs w:val="22"/>
              </w:rPr>
              <w:t xml:space="preserve">• 48–72 hour antibiotic time-out: indication, drug, dose, duration, de-escalation.</w:t>
            </w:r>
          </w:p>
          <w:p>
            <w:pPr>
              <w:spacing w:after="40"/>
            </w:pPr>
            <w:r>
              <w:rPr>
                <w:color w:val="333333"/>
                <w:sz w:val="22"/>
                <w:szCs w:val="22"/>
              </w:rPr>
              <w:t xml:space="preserve">• Tracking and reporting: antibiotic starts per 1,000 resident-days, C. difficile rates.</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Facilitator notes</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Invite the medical director or consultant pharmacist to co-facilitate if possible.</w:t>
            </w:r>
          </w:p>
          <w:p>
            <w:pPr>
              <w:spacing w:after="40"/>
            </w:pPr>
            <w:r>
              <w:rPr>
                <w:color w:val="333333"/>
                <w:sz w:val="22"/>
                <w:szCs w:val="22"/>
              </w:rPr>
              <w:t xml:space="preserve">• Share a redacted example of the facility antibiotic use report.</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Activity</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Role play: nurse uses the SBAR + Loeb criteria script to call a prescriber about a resident with a positive urine dip and no symptoms.</w:t>
            </w:r>
          </w:p>
        </w:tc>
      </w:tr>
    </w:tbl>
    <w:p>
      <w:pPr>
        <w:spacing w:after="160" w:before="0"/>
      </w:pPr>
      <w:r>
        <w:rPr>
          <w:color w:val="3333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736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r>
              <w:rPr>
                <w:b/>
                <w:bCs/>
                <w:color w:val="FFFFFF"/>
                <w:sz w:val="22"/>
                <w:szCs w:val="22"/>
              </w:rPr>
              <w:t xml:space="preserve">Module 6: Documentation, Reporting &amp; QAPI Integration</w:t>
            </w:r>
          </w:p>
        </w:tc>
        <w:tc>
          <w:tcPr>
            <w:tcW w:type="dxa" w:w="2000"/>
            <w:tcBorders>
              <w:top w:val="single" w:color="CCCCCC" w:sz="1"/>
              <w:left w:val="single" w:color="CCCCCC" w:sz="1"/>
              <w:bottom w:val="single" w:color="CCCCCC" w:sz="1"/>
              <w:right w:val="single" w:color="CCCCCC" w:sz="1"/>
            </w:tcBorders>
            <w:shd w:fill="1F4E4E" w:val="clear"/>
            <w:tcMar>
              <w:top w:type="dxa" w:w="90"/>
              <w:left w:type="dxa" w:w="130"/>
              <w:bottom w:type="dxa" w:w="90"/>
              <w:right w:type="dxa" w:w="130"/>
            </w:tcMar>
            <w:vAlign w:val="top"/>
          </w:tcPr>
          <w:p>
            <w:pPr>
              <w:jc w:val="center"/>
            </w:pPr>
            <w:r>
              <w:rPr>
                <w:b/>
                <w:bCs/>
                <w:color w:val="FFFFFF"/>
                <w:sz w:val="22"/>
                <w:szCs w:val="22"/>
              </w:rPr>
              <w:t xml:space="preserve">30 min</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Key content</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Charting expectations: assessment, criteria met, interventions, communications, response.</w:t>
            </w:r>
          </w:p>
          <w:p>
            <w:pPr>
              <w:spacing w:after="40"/>
            </w:pPr>
            <w:r>
              <w:rPr>
                <w:color w:val="333333"/>
                <w:sz w:val="22"/>
                <w:szCs w:val="22"/>
              </w:rPr>
              <w:t xml:space="preserve">• NHSN LTCF module: UTI, C. difficile, prevention process, and COVID-19 pathway.</w:t>
            </w:r>
          </w:p>
          <w:p>
            <w:pPr>
              <w:spacing w:after="40"/>
            </w:pPr>
            <w:r>
              <w:rPr>
                <w:color w:val="333333"/>
                <w:sz w:val="22"/>
                <w:szCs w:val="22"/>
              </w:rPr>
              <w:t xml:space="preserve">• State-mandated reportable conditions and reporting timelines.</w:t>
            </w:r>
          </w:p>
          <w:p>
            <w:pPr>
              <w:spacing w:after="40"/>
            </w:pPr>
            <w:r>
              <w:rPr>
                <w:color w:val="333333"/>
                <w:sz w:val="22"/>
                <w:szCs w:val="22"/>
              </w:rPr>
              <w:t xml:space="preserve">• Bringing infection and antibiotic data into the QAPI Performance Improvement Project (PIP) cycle.</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Facilitator notes</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Show the current QAPI dashboard and where infection metrics live.</w:t>
            </w:r>
          </w:p>
          <w:p>
            <w:pPr>
              <w:spacing w:after="40"/>
            </w:pPr>
            <w:r>
              <w:rPr>
                <w:color w:val="333333"/>
                <w:sz w:val="22"/>
                <w:szCs w:val="22"/>
              </w:rPr>
              <w:t xml:space="preserve">• Assign a follow-up owner for the first PIP identified during class.</w:t>
            </w:r>
          </w:p>
        </w:tc>
      </w:tr>
      <w:tr>
        <w:tc>
          <w:tcPr>
            <w:tcW w:type="dxa" w:w="2000"/>
            <w:tcBorders>
              <w:top w:val="single" w:color="CCCCCC" w:sz="1"/>
              <w:left w:val="single" w:color="CCCCCC" w:sz="1"/>
              <w:bottom w:val="single" w:color="CCCCCC" w:sz="1"/>
              <w:right w:val="single" w:color="CCCCCC" w:sz="1"/>
            </w:tcBorders>
            <w:shd w:fill="E6F0EF" w:val="clear"/>
            <w:tcMar>
              <w:top w:type="dxa" w:w="90"/>
              <w:left w:type="dxa" w:w="130"/>
              <w:bottom w:type="dxa" w:w="90"/>
              <w:right w:type="dxa" w:w="130"/>
            </w:tcMar>
            <w:vAlign w:val="top"/>
          </w:tcPr>
          <w:p>
            <w:r>
              <w:rPr>
                <w:b/>
                <w:bCs/>
                <w:color w:val="333333"/>
                <w:sz w:val="22"/>
                <w:szCs w:val="22"/>
              </w:rPr>
              <w:t xml:space="preserve">Activity</w:t>
            </w:r>
          </w:p>
        </w:tc>
        <w:tc>
          <w:tcPr>
            <w:tcW w:type="dxa" w:w="73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spacing w:after="40"/>
            </w:pPr>
            <w:r>
              <w:rPr>
                <w:color w:val="333333"/>
                <w:sz w:val="22"/>
                <w:szCs w:val="22"/>
              </w:rPr>
              <w:t xml:space="preserve">• Group build: draft one SMART aim statement for a facility-specific infection PIP.</w:t>
            </w:r>
          </w:p>
        </w:tc>
      </w:tr>
    </w:tbl>
    <w:p>
      <w:pPr>
        <w:spacing w:after="160" w:before="0"/>
      </w:pPr>
      <w:r>
        <w:rPr>
          <w:color w:val="333333"/>
          <w:sz w:val="22"/>
          <w:szCs w:val="22"/>
        </w:rPr>
        <w:t xml:space="preserve"/>
      </w:r>
    </w:p>
    <w:p>
      <w:r>
        <w:br w:type="page"/>
      </w:r>
    </w:p>
    <w:p>
      <w:pPr>
        <w:pStyle w:val="Heading1"/>
        <w:spacing w:after="200" w:before="0"/>
      </w:pPr>
      <w:r>
        <w:rPr>
          <w:b/>
          <w:bCs/>
          <w:color w:val="1F4E4E"/>
        </w:rPr>
        <w:t xml:space="preserve">Case Studies &amp; Tabletop Exercises</w:t>
      </w:r>
    </w:p>
    <w:p>
      <w:pPr>
        <w:pStyle w:val="Heading2"/>
        <w:spacing w:after="120" w:before="280"/>
      </w:pPr>
      <w:r>
        <w:rPr>
          <w:b/>
          <w:bCs/>
          <w:color w:val="1F4E4E"/>
        </w:rPr>
        <w:t xml:space="preserve">Case Study 1 — Suspected UTI Without Criteria</w:t>
      </w:r>
    </w:p>
    <w:p>
      <w:pPr>
        <w:spacing w:after="120" w:before="0"/>
      </w:pPr>
      <w:r>
        <w:rPr>
          <w:color w:val="333333"/>
          <w:sz w:val="22"/>
          <w:szCs w:val="22"/>
        </w:rPr>
        <w:t xml:space="preserve">Mrs. R is an 84-year-old resident with dementia. The CNA reports her urine "smells strong" and looks cloudy. Vital signs are stable, she has no dysuria, no suprapubic tenderness, and no fever. The nurse is asked by the family to "get her checked for a UTI."</w:t>
      </w:r>
    </w:p>
    <w:p>
      <w:pPr>
        <w:spacing w:after="80" w:before="200"/>
      </w:pPr>
      <w:r>
        <w:rPr>
          <w:b/>
          <w:bCs/>
          <w:color w:val="C9A227"/>
          <w:sz w:val="24"/>
          <w:szCs w:val="24"/>
        </w:rPr>
        <w:t xml:space="preserve">Facilitator prompts</w:t>
      </w:r>
    </w:p>
    <w:p>
      <w:pPr>
        <w:pStyle w:val="ListParagraph"/>
        <w:numPr>
          <w:ilvl w:val="0"/>
          <w:numId w:val="3"/>
        </w:numPr>
        <w:spacing w:after="60"/>
      </w:pPr>
      <w:r>
        <w:rPr>
          <w:color w:val="333333"/>
          <w:sz w:val="22"/>
          <w:szCs w:val="22"/>
        </w:rPr>
        <w:t xml:space="preserve">Does this resident meet Loeb minimum criteria to initiate antibiotics? Why or why not?</w:t>
      </w:r>
    </w:p>
    <w:p>
      <w:pPr>
        <w:pStyle w:val="ListParagraph"/>
        <w:numPr>
          <w:ilvl w:val="0"/>
          <w:numId w:val="3"/>
        </w:numPr>
        <w:spacing w:after="60"/>
      </w:pPr>
      <w:r>
        <w:rPr>
          <w:color w:val="333333"/>
          <w:sz w:val="22"/>
          <w:szCs w:val="22"/>
        </w:rPr>
        <w:t xml:space="preserve">What non-antibiotic interventions and monitoring are appropriate?</w:t>
      </w:r>
    </w:p>
    <w:p>
      <w:pPr>
        <w:pStyle w:val="ListParagraph"/>
        <w:numPr>
          <w:ilvl w:val="0"/>
          <w:numId w:val="3"/>
        </w:numPr>
        <w:spacing w:after="60"/>
      </w:pPr>
      <w:r>
        <w:rPr>
          <w:color w:val="333333"/>
          <w:sz w:val="22"/>
          <w:szCs w:val="22"/>
        </w:rPr>
        <w:t xml:space="preserve">Script the SBAR call to the prescriber if the family continues to request treatment.</w:t>
      </w:r>
    </w:p>
    <w:p>
      <w:pPr>
        <w:pStyle w:val="Heading2"/>
        <w:spacing w:after="120" w:before="280"/>
      </w:pPr>
      <w:r>
        <w:rPr>
          <w:b/>
          <w:bCs/>
          <w:color w:val="1F4E4E"/>
        </w:rPr>
        <w:t xml:space="preserve">Case Study 2 — Norovirus Outbreak on Unit 2</w:t>
      </w:r>
    </w:p>
    <w:p>
      <w:pPr>
        <w:spacing w:after="120" w:before="0"/>
      </w:pPr>
      <w:r>
        <w:rPr>
          <w:color w:val="333333"/>
          <w:sz w:val="22"/>
          <w:szCs w:val="22"/>
        </w:rPr>
        <w:t xml:space="preserve">Over an 18-hour period, four residents and one CNA on the same 20-bed unit develop acute vomiting and diarrhea. The night nurse calls you at 5:00 a.m.</w:t>
      </w:r>
    </w:p>
    <w:p>
      <w:pPr>
        <w:spacing w:after="80" w:before="200"/>
      </w:pPr>
      <w:r>
        <w:rPr>
          <w:b/>
          <w:bCs/>
          <w:color w:val="C9A227"/>
          <w:sz w:val="24"/>
          <w:szCs w:val="24"/>
        </w:rPr>
        <w:t xml:space="preserve">Facilitator prompts</w:t>
      </w:r>
    </w:p>
    <w:p>
      <w:pPr>
        <w:pStyle w:val="ListParagraph"/>
        <w:numPr>
          <w:ilvl w:val="0"/>
          <w:numId w:val="3"/>
        </w:numPr>
        <w:spacing w:after="60"/>
      </w:pPr>
      <w:r>
        <w:rPr>
          <w:color w:val="333333"/>
          <w:sz w:val="22"/>
          <w:szCs w:val="22"/>
        </w:rPr>
        <w:t xml:space="preserve">What defines this event as an outbreak, and when does the clock start for reporting?</w:t>
      </w:r>
    </w:p>
    <w:p>
      <w:pPr>
        <w:pStyle w:val="ListParagraph"/>
        <w:numPr>
          <w:ilvl w:val="0"/>
          <w:numId w:val="3"/>
        </w:numPr>
        <w:spacing w:after="60"/>
      </w:pPr>
      <w:r>
        <w:rPr>
          <w:color w:val="333333"/>
          <w:sz w:val="22"/>
          <w:szCs w:val="22"/>
        </w:rPr>
        <w:t xml:space="preserve">What are your first four hours of actions (cohorting, staffing, PPE, cleaning, communication)?</w:t>
      </w:r>
    </w:p>
    <w:p>
      <w:pPr>
        <w:pStyle w:val="ListParagraph"/>
        <w:numPr>
          <w:ilvl w:val="0"/>
          <w:numId w:val="3"/>
        </w:numPr>
        <w:spacing w:after="60"/>
      </w:pPr>
      <w:r>
        <w:rPr>
          <w:color w:val="333333"/>
          <w:sz w:val="22"/>
          <w:szCs w:val="22"/>
        </w:rPr>
        <w:t xml:space="preserve">Who is notified, in what order, and what data goes on the line list?</w:t>
      </w:r>
    </w:p>
    <w:p>
      <w:r>
        <w:br w:type="page"/>
      </w:r>
    </w:p>
    <w:p>
      <w:pPr>
        <w:pStyle w:val="Heading1"/>
        <w:spacing w:after="200" w:before="0"/>
      </w:pPr>
      <w:r>
        <w:rPr>
          <w:b/>
          <w:bCs/>
          <w:color w:val="1F4E4E"/>
        </w:rPr>
        <w:t xml:space="preserve">Assessment Plan</w:t>
      </w:r>
    </w:p>
    <w:p>
      <w:pPr>
        <w:pStyle w:val="Heading2"/>
        <w:spacing w:after="120" w:before="280"/>
      </w:pPr>
      <w:r>
        <w:rPr>
          <w:b/>
          <w:bCs/>
          <w:color w:val="1F4E4E"/>
        </w:rPr>
        <w:t xml:space="preserve">Pre-test (10 items, 10 minutes)</w:t>
      </w:r>
    </w:p>
    <w:p>
      <w:pPr>
        <w:pStyle w:val="ListParagraph"/>
        <w:numPr>
          <w:ilvl w:val="0"/>
          <w:numId w:val="3"/>
        </w:numPr>
        <w:spacing w:after="60"/>
      </w:pPr>
      <w:r>
        <w:rPr>
          <w:color w:val="333333"/>
          <w:sz w:val="22"/>
          <w:szCs w:val="22"/>
        </w:rPr>
        <w:t xml:space="preserve">4 items on regulatory requirements (F880/F881, IP role, NHSN).</w:t>
      </w:r>
    </w:p>
    <w:p>
      <w:pPr>
        <w:pStyle w:val="ListParagraph"/>
        <w:numPr>
          <w:ilvl w:val="0"/>
          <w:numId w:val="3"/>
        </w:numPr>
        <w:spacing w:after="60"/>
      </w:pPr>
      <w:r>
        <w:rPr>
          <w:color w:val="333333"/>
          <w:sz w:val="22"/>
          <w:szCs w:val="22"/>
        </w:rPr>
        <w:t xml:space="preserve">3 items on McGeer/Loeb criteria applied to short vignettes.</w:t>
      </w:r>
    </w:p>
    <w:p>
      <w:pPr>
        <w:pStyle w:val="ListParagraph"/>
        <w:numPr>
          <w:ilvl w:val="0"/>
          <w:numId w:val="3"/>
        </w:numPr>
        <w:spacing w:after="60"/>
      </w:pPr>
      <w:r>
        <w:rPr>
          <w:color w:val="333333"/>
          <w:sz w:val="22"/>
          <w:szCs w:val="22"/>
        </w:rPr>
        <w:t xml:space="preserve">2 items on outbreak definition and initial response.</w:t>
      </w:r>
    </w:p>
    <w:p>
      <w:pPr>
        <w:pStyle w:val="ListParagraph"/>
        <w:numPr>
          <w:ilvl w:val="0"/>
          <w:numId w:val="3"/>
        </w:numPr>
        <w:spacing w:after="60"/>
      </w:pPr>
      <w:r>
        <w:rPr>
          <w:color w:val="333333"/>
          <w:sz w:val="22"/>
          <w:szCs w:val="22"/>
        </w:rPr>
        <w:t xml:space="preserve">1 item on antibiotic time-out and de-escalation.</w:t>
      </w:r>
    </w:p>
    <w:p>
      <w:pPr>
        <w:pStyle w:val="Heading2"/>
        <w:spacing w:after="120" w:before="280"/>
      </w:pPr>
      <w:r>
        <w:rPr>
          <w:b/>
          <w:bCs/>
          <w:color w:val="1F4E4E"/>
        </w:rPr>
        <w:t xml:space="preserve">Post-test (same items + 5 applied scenarios, 20 minutes)</w:t>
      </w:r>
    </w:p>
    <w:p>
      <w:pPr>
        <w:spacing w:after="120" w:before="0"/>
      </w:pPr>
      <w:r>
        <w:rPr>
          <w:color w:val="333333"/>
          <w:sz w:val="22"/>
          <w:szCs w:val="22"/>
        </w:rPr>
        <w:t xml:space="preserve">Pass mark: ≥ 80%. Learners scoring below 80% receive a targeted remediation plan and repeat within 30 days.</w:t>
      </w:r>
    </w:p>
    <w:p>
      <w:pPr>
        <w:pStyle w:val="Heading2"/>
        <w:spacing w:after="120" w:before="280"/>
      </w:pPr>
      <w:r>
        <w:rPr>
          <w:b/>
          <w:bCs/>
          <w:color w:val="1F4E4E"/>
        </w:rPr>
        <w:t xml:space="preserve">Competency Validation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Correctly dons and doffs PPE in the required sequence, observed by a validator.</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Applies McGeer criteria to a written vignette with 100% accuracy.</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Completes an SBAR + Loeb call role play scored ≥ 4/5 on the rubric.</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Locates and interprets the facility antibiotic use report.</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Documents a suspected infection assessment that meets charting expectations.</w:t>
            </w:r>
          </w:p>
        </w:tc>
      </w:tr>
    </w:tbl>
    <w:p>
      <w:r>
        <w:br w:type="page"/>
      </w:r>
    </w:p>
    <w:p>
      <w:pPr>
        <w:pStyle w:val="Heading1"/>
        <w:spacing w:after="200" w:before="0"/>
      </w:pPr>
      <w:r>
        <w:rPr>
          <w:b/>
          <w:bCs/>
          <w:color w:val="1F4E4E"/>
        </w:rPr>
        <w:t xml:space="preserve">Facilitator Checklist</w:t>
      </w:r>
    </w:p>
    <w:p>
      <w:pPr>
        <w:pStyle w:val="Heading2"/>
        <w:spacing w:after="120" w:before="280"/>
      </w:pPr>
      <w:r>
        <w:rPr>
          <w:b/>
          <w:bCs/>
          <w:color w:val="1F4E4E"/>
        </w:rPr>
        <w:t xml:space="preserve">Two weeks before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Confirm room, AV, and PPE supplies for the skills lab.</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Print McGeer/Loeb pocket cards and case study handouts (1 per participant).</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Request the current facility IPCP plan and last three months of infection surveillance data.</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Invite the medical director or consultant pharmacist to co-facilitate Module 5.</w:t>
            </w:r>
          </w:p>
        </w:tc>
      </w:tr>
    </w:tbl>
    <w:p>
      <w:pPr>
        <w:pStyle w:val="Heading2"/>
        <w:spacing w:after="120" w:before="280"/>
      </w:pPr>
      <w:r>
        <w:rPr>
          <w:b/>
          <w:bCs/>
          <w:color w:val="1F4E4E"/>
        </w:rPr>
        <w:t xml:space="preserve">Day of session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Arrive 45 minutes early to set up PPE stations and load slides.</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Distribute pre-test on entry; collect before Module 1 begins.</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Post outbreak response reference sheet on the wall for Module 3.</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Capture the SMART aim drafted in Module 6 for QAPI follow-up.</w:t>
            </w:r>
          </w:p>
        </w:tc>
      </w:tr>
    </w:tbl>
    <w:p>
      <w:pPr>
        <w:pStyle w:val="Heading2"/>
        <w:spacing w:after="120" w:before="280"/>
      </w:pPr>
      <w:r>
        <w:rPr>
          <w:b/>
          <w:bCs/>
          <w:color w:val="1F4E4E"/>
        </w:rPr>
        <w:t xml:space="preserve">Within 7 days after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Score post-tests and enter results in the education record.</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Send participants their completion certificate and CE documentation.</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File the SMART aim and owner with the QAPI committee.</w:t>
            </w:r>
          </w:p>
        </w:tc>
      </w:tr>
      <w:tr>
        <w:tc>
          <w:tcPr>
            <w:tcW w:type="dxa" w:w="70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pPr>
              <w:jc w:val="center"/>
            </w:pPr>
            <w:r>
              <w:rPr>
                <w:b/>
                <w:bCs/>
                <w:color w:val="1F4E4E"/>
                <w:sz w:val="22"/>
                <w:szCs w:val="22"/>
              </w:rPr>
              <w:t xml:space="preserve">☐</w:t>
            </w:r>
          </w:p>
        </w:tc>
        <w:tc>
          <w:tcPr>
            <w:tcW w:type="dxa" w:w="8660"/>
            <w:tcBorders>
              <w:top w:val="single" w:color="CCCCCC" w:sz="1"/>
              <w:left w:val="single" w:color="CCCCCC" w:sz="1"/>
              <w:bottom w:val="single" w:color="CCCCCC" w:sz="1"/>
              <w:right w:val="single" w:color="CCCCCC" w:sz="1"/>
            </w:tcBorders>
            <w:tcMar>
              <w:top w:type="dxa" w:w="90"/>
              <w:left w:type="dxa" w:w="130"/>
              <w:bottom w:type="dxa" w:w="90"/>
              <w:right w:type="dxa" w:w="130"/>
            </w:tcMar>
            <w:vAlign w:val="top"/>
          </w:tcPr>
          <w:p>
            <w:r>
              <w:rPr>
                <w:color w:val="333333"/>
                <w:sz w:val="22"/>
                <w:szCs w:val="22"/>
              </w:rPr>
              <w:t xml:space="preserve">Schedule 30-day remediation for any learner &lt; 80%.</w:t>
            </w:r>
          </w:p>
        </w:tc>
      </w:tr>
    </w:tbl>
    <w:p>
      <w:pPr>
        <w:pStyle w:val="Heading1"/>
        <w:spacing w:after="200" w:before="0"/>
      </w:pPr>
      <w:r>
        <w:rPr>
          <w:b/>
          <w:bCs/>
          <w:color w:val="1F4E4E"/>
        </w:rPr>
        <w:t xml:space="preserve">Resources &amp; References</w:t>
      </w:r>
    </w:p>
    <w:p>
      <w:pPr>
        <w:pStyle w:val="ListParagraph"/>
        <w:numPr>
          <w:ilvl w:val="0"/>
          <w:numId w:val="3"/>
        </w:numPr>
        <w:spacing w:after="60"/>
      </w:pPr>
      <w:r>
        <w:rPr>
          <w:color w:val="333333"/>
          <w:sz w:val="22"/>
          <w:szCs w:val="22"/>
        </w:rPr>
        <w:t xml:space="preserve">CMS. State Operations Manual, Appendix PP — F880 Infection Prevention &amp; Control, F881 Antibiotic Stewardship.</w:t>
      </w:r>
    </w:p>
    <w:p>
      <w:pPr>
        <w:pStyle w:val="ListParagraph"/>
        <w:numPr>
          <w:ilvl w:val="0"/>
          <w:numId w:val="3"/>
        </w:numPr>
        <w:spacing w:after="60"/>
      </w:pPr>
      <w:r>
        <w:rPr>
          <w:color w:val="333333"/>
          <w:sz w:val="22"/>
          <w:szCs w:val="22"/>
        </w:rPr>
        <w:t xml:space="preserve">CDC. The Core Elements of Antibiotic Stewardship for Nursing Homes.</w:t>
      </w:r>
    </w:p>
    <w:p>
      <w:pPr>
        <w:pStyle w:val="ListParagraph"/>
        <w:numPr>
          <w:ilvl w:val="0"/>
          <w:numId w:val="3"/>
        </w:numPr>
        <w:spacing w:after="60"/>
      </w:pPr>
      <w:r>
        <w:rPr>
          <w:color w:val="333333"/>
          <w:sz w:val="22"/>
          <w:szCs w:val="22"/>
        </w:rPr>
        <w:t xml:space="preserve">CDC / NHSN. Long-term Care Facility Component: UTI, C. difficile, and Prevention Process Measures Protocols.</w:t>
      </w:r>
    </w:p>
    <w:p>
      <w:pPr>
        <w:pStyle w:val="ListParagraph"/>
        <w:numPr>
          <w:ilvl w:val="0"/>
          <w:numId w:val="3"/>
        </w:numPr>
        <w:spacing w:after="60"/>
      </w:pPr>
      <w:r>
        <w:rPr>
          <w:color w:val="333333"/>
          <w:sz w:val="22"/>
          <w:szCs w:val="22"/>
        </w:rPr>
        <w:t xml:space="preserve">Stone ND, et al. Surveillance definitions of infections in long-term care facilities: revisiting the McGeer criteria. Infection Control &amp; Hospital Epidemiology, 2012.</w:t>
      </w:r>
    </w:p>
    <w:p>
      <w:pPr>
        <w:pStyle w:val="ListParagraph"/>
        <w:numPr>
          <w:ilvl w:val="0"/>
          <w:numId w:val="3"/>
        </w:numPr>
        <w:spacing w:after="60"/>
      </w:pPr>
      <w:r>
        <w:rPr>
          <w:color w:val="333333"/>
          <w:sz w:val="22"/>
          <w:szCs w:val="22"/>
        </w:rPr>
        <w:t xml:space="preserve">Loeb M, et al. Development of minimum criteria for the initiation of antibiotics in residents of long-term-care facilities. Infection Control &amp; Hospital Epidemiology, 2001.</w:t>
      </w:r>
    </w:p>
    <w:p>
      <w:pPr>
        <w:pStyle w:val="ListParagraph"/>
        <w:numPr>
          <w:ilvl w:val="0"/>
          <w:numId w:val="3"/>
        </w:numPr>
        <w:spacing w:after="60"/>
      </w:pPr>
      <w:r>
        <w:rPr>
          <w:color w:val="333333"/>
          <w:sz w:val="22"/>
          <w:szCs w:val="22"/>
        </w:rPr>
        <w:t xml:space="preserve">AHRQ. Toolkit to Improve Antibiotic Use in Long-Term Care.</w:t>
      </w:r>
    </w:p>
    <w:p>
      <w:pPr>
        <w:pStyle w:val="ListParagraph"/>
        <w:numPr>
          <w:ilvl w:val="0"/>
          <w:numId w:val="3"/>
        </w:numPr>
        <w:spacing w:after="60"/>
      </w:pPr>
      <w:r>
        <w:rPr>
          <w:color w:val="333333"/>
          <w:sz w:val="22"/>
          <w:szCs w:val="22"/>
        </w:rPr>
        <w:t xml:space="preserve">CDC. Implementation of Enhanced Barrier Precautions in Nursing Homes.</w:t>
      </w:r>
    </w:p>
    <w:p>
      <w:pPr>
        <w:spacing w:after="100" w:before="240"/>
      </w:pPr>
      <w:r>
        <w:rPr>
          <w:color w:val="333333"/>
          <w:sz w:val="22"/>
          <w:szCs w:val="22"/>
        </w:rPr>
        <w:t xml:space="preserve"/>
      </w:r>
    </w:p>
    <w:p>
      <w:pPr>
        <w:spacing w:after="100" w:before="0"/>
        <w:jc w:val="center"/>
      </w:pPr>
      <w:r>
        <w:rPr>
          <w:i/>
          <w:iCs/>
          <w:color w:val="333333"/>
          <w:sz w:val="22"/>
          <w:szCs w:val="22"/>
        </w:rPr>
        <w:t xml:space="preserve">© Nurse Excellence Academy. This outline supports — and does not replace — clinical judgment, facility policy, or the guidance of the facility medical director and infection preventionist.</w:t>
      </w:r>
    </w:p>
    <w:sectPr>
      <w:headerReference w:type="default" r:id="rId7"/>
      <w:footerReference w:type="default" r:id="rId8"/>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1F4E4E"/>
        <w:sz w:val="18"/>
        <w:szCs w:val="18"/>
      </w:rPr>
      <w:t xml:space="preserve">Nurse Excellence Academy  •  Course Outline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lvl w:ilvl="1" w15:tentative="1">
      <w:start w:val="1"/>
      <w:numFmt w:val="bullet"/>
      <w:lvlText w:val="◦"/>
      <w:lvlJc w:val="left"/>
      <w:pPr>
        <w:ind w:left="1000" w:hanging="260"/>
      </w:pPr>
    </w:lvl>
  </w:abstractNum>
  <w:abstractNum w:abstractNumId="3" w15:restartNumberingAfterBreak="0">
    <w:multiLevelType w:val="hybridMultilevel"/>
    <w:lvl w:ilvl="0" w15:tentative="1">
      <w:start w:val="1"/>
      <w:numFmt w:val="decimal"/>
      <w:lvlText w:val="%1."/>
      <w:lvlJc w:val="left"/>
      <w:pPr>
        <w:ind w:left="54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0"/>
      <w:outlineLvl w:val="0"/>
    </w:pPr>
    <w:rPr>
      <w:rFonts w:ascii="Arial" w:cs="Arial" w:eastAsia="Arial" w:hAnsi="Arial"/>
      <w:b/>
      <w:bCs/>
      <w:color w:val="1F4E4E"/>
      <w:sz w:val="34"/>
      <w:szCs w:val="34"/>
    </w:rPr>
  </w:style>
  <w:style w:type="paragraph" w:styleId="Heading2">
    <w:name w:val="Heading 2"/>
    <w:basedOn w:val="Normal"/>
    <w:next w:val="Normal"/>
    <w:qFormat/>
    <w:pPr>
      <w:spacing w:after="120" w:before="280"/>
      <w:outlineLvl w:val="1"/>
    </w:pPr>
    <w:rPr>
      <w:rFonts w:ascii="Arial" w:cs="Arial" w:eastAsia="Arial" w:hAnsi="Arial"/>
      <w:b/>
      <w:bCs/>
      <w:color w:val="1F4E4E"/>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2026-07-28T02:30:13.046Z</dcterms:created>
  <dcterms:modified xsi:type="dcterms:W3CDTF">2026-07-28T02:30:13.046Z</dcterms:modified>
</cp:coreProperties>
</file>

<file path=docProps/custom.xml><?xml version="1.0" encoding="utf-8"?>
<Properties xmlns="http://schemas.openxmlformats.org/officeDocument/2006/custom-properties" xmlns:vt="http://schemas.openxmlformats.org/officeDocument/2006/docPropsVTypes"/>
</file>