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F4E4E"/>
        </w:rPr>
        <w:t xml:space="preserve">Long-Term Care Survey Readiness Checklist</w:t>
      </w:r>
    </w:p>
    <w:p>
      <w:pPr>
        <w:spacing w:after="200" w:before="0"/>
      </w:pPr>
      <w:r>
        <w:rPr>
          <w:color w:val="333333"/>
          <w:sz w:val="22"/>
          <w:szCs w:val="22"/>
        </w:rPr>
        <w:t xml:space="preserve">Use this checklist to prepare for your annual state or federal survey. Complete each section at least 30 days before the anticipated survey window.</w:t>
      </w:r>
    </w:p>
    <w:p>
      <w:pPr>
        <w:pStyle w:val="Heading2"/>
        <w:spacing w:after="120" w:before="240"/>
      </w:pPr>
      <w:r>
        <w:rPr>
          <w:b/>
          <w:bCs/>
          <w:color w:val="1F4E4E"/>
        </w:rPr>
        <w:t xml:space="preserve">Administrative &amp; Record Review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Administrative Preparedness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Administrator and director of nursing licenses are current and posted.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Organizational chart reflects current staffing and reporting relationships.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Most recent survey plan of correction (POC) is closed and evidence retained.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Facility policies and procedures are reviewed annually and signed by leadership.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Emergency preparedness plan is updated, exercised, and documented.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Resident Rights &amp; Care Planning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Resident Rights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 rights posters are visible in common areas.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Care plans are individualized, current, and signed by interdisciplinary team.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Advance directives and code status are documented and honored.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Resident/family council meeting minutes are retained.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Grievance and complaint log is up to date with follow-up documented.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Quality &amp; Clinical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Quality &amp; Clinical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Infection prevention and control program is active with current surveillance data.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Medication administration records (MARs) are complete and error-free.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Controlled substance counts and disposition logs reconcile.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Resident assessments (MDS) are accurate and care-area triggers addressed.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Restraint and behavior management documentation meets regulatory standards.</w:t>
            </w:r>
          </w:p>
        </w:tc>
      </w:tr>
    </w:tbl>
    <w:p>
      <w:pPr>
        <w:pStyle w:val="Heading2"/>
        <w:spacing w:after="120" w:before="240"/>
      </w:pPr>
      <w:r>
        <w:rPr>
          <w:b/>
          <w:bCs/>
          <w:color w:val="1F4E4E"/>
        </w:rPr>
        <w:t xml:space="preserve">Environment &amp; Life Safety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8560"/>
      </w:tblGrid>
      <w:tr>
        <w:tc>
          <w:tcPr>
            <w:tcW w:type="dxa" w:w="9360"/>
            <w:gridSpan w:val="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4E4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Environment &amp; Safety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Fire drills are conducted and documented per state requirement.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Sprinkler, alarm, and extinguishers are inspected and tagged.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Hazardous areas are locked, labeled, and MSDS/SDS sheets available.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Kitchen and dietary areas meet sanitation and temperature standards.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color w:val="1F4E4E"/>
                <w:sz w:val="24"/>
                <w:szCs w:val="24"/>
              </w:rPr>
              <w:t xml:space="preserve">☐</w:t>
            </w:r>
          </w:p>
        </w:tc>
        <w:tc>
          <w:tcPr>
            <w:tcW w:type="dxa" w:w="8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333333"/>
                <w:sz w:val="22"/>
                <w:szCs w:val="22"/>
              </w:rPr>
              <w:t xml:space="preserve">Wander management and elopement systems are tested and functional.</w:t>
            </w:r>
          </w:p>
        </w:tc>
      </w:tr>
    </w:tbl>
    <w:p>
      <w:pPr>
        <w:spacing w:after="120" w:before="240"/>
      </w:pPr>
      <w:r>
        <w:rPr>
          <w:color w:val="333333"/>
          <w:sz w:val="22"/>
          <w:szCs w:val="22"/>
        </w:rPr>
        <w:t xml:space="preserve">Scoring: Count checked items. Target ≥ 90% completion before survey arrival.</w:t>
      </w:r>
    </w:p>
    <w:sectPr>
      <w:headerReference w:type="default" r:id="rId7"/>
      <w:footerReference w:type="default" r:id="rId8"/>
      <w:pgSz w:w="12240" w:h="15840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66666"/>
        <w:sz w:val="18"/>
        <w:szCs w:val="18"/>
      </w:rPr>
      <w:t xml:space="preserve"> of </w:t>
    </w:r>
    <w:r>
      <w:rPr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1F4E4E"/>
        <w:sz w:val="18"/>
        <w:szCs w:val="18"/>
      </w:rPr>
      <w:t xml:space="preserve">Nurse Excellence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4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00"/>
      <w:outlineLvl w:val="1"/>
    </w:pPr>
    <w:rPr>
      <w:rFonts w:ascii="Arial" w:cs="Arial" w:eastAsia="Arial" w:hAnsi="Arial"/>
      <w:b/>
      <w:bCs/>
      <w:color w:val="1F4E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2026-07-28T02:25:37.637Z</dcterms:created>
  <dcterms:modified xsi:type="dcterms:W3CDTF">2026-07-28T02:25:37.637Z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